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18C0813A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SWZ – </w:t>
      </w:r>
      <w:r w:rsidR="00C905BE" w:rsidRPr="00C905BE">
        <w:rPr>
          <w:rFonts w:ascii="Verdana" w:eastAsia="Verdana" w:hAnsi="Verdana"/>
          <w:b/>
          <w:sz w:val="18"/>
          <w:szCs w:val="18"/>
        </w:rPr>
        <w:t>SZCZEGÓŁOWY OPIS PRZEDMIOTU ZAKUPU</w:t>
      </w:r>
      <w:r w:rsidR="001F71C7">
        <w:rPr>
          <w:rFonts w:ascii="Verdana" w:eastAsia="Verdana" w:hAnsi="Verdana"/>
          <w:b/>
          <w:sz w:val="18"/>
          <w:szCs w:val="18"/>
        </w:rPr>
        <w:t xml:space="preserve"> dla części 1</w:t>
      </w:r>
    </w:p>
    <w:p w14:paraId="45150F6C" w14:textId="77777777" w:rsidR="00C905BE" w:rsidRPr="004B4087" w:rsidRDefault="00C905BE" w:rsidP="00C905BE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3FD75B5" w14:textId="77777777" w:rsidR="00C905BE" w:rsidRPr="004B4087" w:rsidRDefault="00C905BE" w:rsidP="00C905BE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3D997892" w14:textId="77777777" w:rsidR="00C905BE" w:rsidRPr="004B4087" w:rsidRDefault="00C905BE" w:rsidP="00C905BE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Opracowanie </w:t>
      </w:r>
      <w:r w:rsidRPr="004B4087">
        <w:rPr>
          <w:rFonts w:ascii="Verdana" w:hAnsi="Verdana"/>
          <w:sz w:val="18"/>
          <w:szCs w:val="18"/>
          <w:lang w:val="pl-PL"/>
        </w:rPr>
        <w:t xml:space="preserve"> projektu technicznego,</w:t>
      </w:r>
    </w:p>
    <w:p w14:paraId="43B34E62" w14:textId="77777777" w:rsidR="00C905BE" w:rsidRPr="004B4087" w:rsidRDefault="00C905BE" w:rsidP="00C905BE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50D2DB2B" w14:textId="77777777" w:rsidR="00C905BE" w:rsidRPr="004B4087" w:rsidRDefault="00C905BE" w:rsidP="00C905BE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442EEB18" w14:textId="77777777" w:rsidR="00C905BE" w:rsidRPr="004B4087" w:rsidRDefault="00C905BE" w:rsidP="00C905BE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56FDD5D4" w14:textId="77777777" w:rsidR="00C905BE" w:rsidRPr="004B4087" w:rsidRDefault="00C905BE" w:rsidP="00C905BE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prac pomiarowych, badań pomontażowych,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6301053F" w14:textId="77777777" w:rsidR="00C905BE" w:rsidRPr="004B4087" w:rsidRDefault="00C905BE" w:rsidP="00C905BE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9333CEB" w14:textId="77777777" w:rsidR="00C905BE" w:rsidRPr="004B4087" w:rsidRDefault="00C905BE" w:rsidP="00C905BE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7DB4E6F3" w14:textId="77777777" w:rsidR="00C905BE" w:rsidRPr="004B4087" w:rsidRDefault="00C905BE" w:rsidP="00C905BE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200CE17B" w14:textId="77777777" w:rsidR="00C905BE" w:rsidRPr="004B4087" w:rsidRDefault="00C905BE" w:rsidP="00C905BE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 w:rsidRPr="005B2E36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Wymiana istniejącego rozłącznika sterowanego radiem(wraz ze sterownikiem i terminalem komunikacyjnym) bez wymiany słupa SN, w miejscowości Oleśnica, gm. Ostrówek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 w zakresie:</w:t>
      </w:r>
    </w:p>
    <w:p w14:paraId="2932E00F" w14:textId="77777777" w:rsidR="00C905BE" w:rsidRPr="004B4087" w:rsidRDefault="00C905BE" w:rsidP="00C905BE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wymiana istniejącego rozłącznika SN nr 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57</w:t>
      </w:r>
      <w:r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-R-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0493</w:t>
      </w:r>
      <w:r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na nowy rozłącznik SN sterowany zdalnie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. </w:t>
      </w:r>
    </w:p>
    <w:p w14:paraId="1FCA7804" w14:textId="77777777" w:rsidR="00C905BE" w:rsidRPr="004B4087" w:rsidRDefault="00C905BE" w:rsidP="00C905BE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356AFFC1" w14:textId="77777777" w:rsidR="00C905BE" w:rsidRPr="004B4087" w:rsidRDefault="00C905BE" w:rsidP="00C905BE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Realizacja prac polega na:</w:t>
      </w:r>
    </w:p>
    <w:p w14:paraId="64E261D5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Opracowaniu dokumentacji technicznej na wymianę łączników SN sterowanych zdalnie (rozłącznik SN, reklozer SN) i uzgodnienie jej w Centrali Oddziału Łódź </w:t>
      </w:r>
    </w:p>
    <w:p w14:paraId="5BD01699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Demontażu istniejącego rozłącznika SN sterowanego zdalnie / reklozera SN sterowanego zdalnie w linii napowietrznej SN wraz z kompletnym napędem i szafką sterowniczą, </w:t>
      </w:r>
    </w:p>
    <w:p w14:paraId="58FFCCD6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Montażu nowego rozłącznika SN sterowanego zdalnie / reklozera SN sterowanego zdalnie </w:t>
      </w:r>
      <w:r w:rsidRPr="004B4087">
        <w:rPr>
          <w:rFonts w:ascii="Verdana" w:hAnsi="Verdana" w:cs="Calibri"/>
          <w:sz w:val="18"/>
          <w:szCs w:val="18"/>
        </w:rPr>
        <w:br/>
        <w:t>wykonanego zgodnie z WBSE w miejscu zdemontowanego łącznika SN w linii napowietrznej SN,</w:t>
      </w:r>
    </w:p>
    <w:p w14:paraId="6862251A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Montażu kompletnego zestawu napędowego wraz z szafką sterowniczą wyposażoną także </w:t>
      </w:r>
      <w:r w:rsidRPr="004B4087">
        <w:rPr>
          <w:rFonts w:ascii="Verdana" w:hAnsi="Verdana" w:cs="Calibri"/>
          <w:sz w:val="18"/>
          <w:szCs w:val="18"/>
        </w:rPr>
        <w:br/>
        <w:t>w zasilacz buforowy i sterownik telemechaniki, dla wymienianych reklozerów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18363DD9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jedną skrzynkę sterowniczo-sygnalizacyjną,</w:t>
      </w:r>
    </w:p>
    <w:p w14:paraId="73EF7AC8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rozłączniki w izolacji silikonowej o prądzie znamionowym 630A,</w:t>
      </w:r>
    </w:p>
    <w:p w14:paraId="45463966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3214E9E1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Montażu szafki sterowniczej na żerdzi słupowej na wysokości: </w:t>
      </w:r>
    </w:p>
    <w:p w14:paraId="675D1ED3" w14:textId="77777777" w:rsidR="00C905BE" w:rsidRPr="004B4087" w:rsidRDefault="00C905BE" w:rsidP="00C905BE">
      <w:pPr>
        <w:pStyle w:val="Akapitzlist"/>
        <w:numPr>
          <w:ilvl w:val="0"/>
          <w:numId w:val="43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7A74666E" w14:textId="77777777" w:rsidR="00C905BE" w:rsidRPr="004B4087" w:rsidRDefault="00C905BE" w:rsidP="00C905BE">
      <w:pPr>
        <w:pStyle w:val="Akapitzlist"/>
        <w:numPr>
          <w:ilvl w:val="0"/>
          <w:numId w:val="43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5E8A8BBC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Montażu dwóch kompletów ograniczników przepięć SN – po jednym komplecie z każdej strony łącznika SN,</w:t>
      </w:r>
    </w:p>
    <w:p w14:paraId="041F9C38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Połączenia prądowe obwodów pierwotnych realizować przewodem w niepełnej izolacji typu AASXSn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4BB8B98E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Montażu ograniczników przepięć nn w szafce sterowniczej – na wejściu zasilania do ww. szafki – sygnalizację uszkodzenia ograniczników przepięć należy wpiąć do systemu nadzoru dyspozytorskiego WindEX ,</w:t>
      </w:r>
    </w:p>
    <w:p w14:paraId="08B352AF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Skrzynka sterowniczo-sygnalizacyjna powinna zapewniać izolacje termiczną przed nadmiernym wychłodzeniem oraz nadmiernym nagrzaniem wewnątrz skrzynki, oraz być wyposażona </w:t>
      </w:r>
      <w:r w:rsidRPr="004B4087">
        <w:rPr>
          <w:rFonts w:ascii="Verdana" w:hAnsi="Verdana" w:cs="Calibri"/>
          <w:sz w:val="18"/>
          <w:szCs w:val="18"/>
        </w:rPr>
        <w:br/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>C ÷ + 55</w:t>
      </w:r>
      <w:r w:rsidRPr="004B4087">
        <w:rPr>
          <w:rFonts w:ascii="Verdana" w:hAnsi="Verdana" w:cs="Calibri"/>
          <w:sz w:val="18"/>
          <w:szCs w:val="18"/>
          <w:vertAlign w:val="superscript"/>
        </w:rPr>
        <w:t xml:space="preserve"> o</w:t>
      </w:r>
      <w:r w:rsidRPr="004B4087">
        <w:rPr>
          <w:rFonts w:ascii="Verdana" w:hAnsi="Verdana" w:cs="Calibri"/>
          <w:sz w:val="18"/>
          <w:szCs w:val="18"/>
        </w:rPr>
        <w:t xml:space="preserve">C       </w:t>
      </w:r>
    </w:p>
    <w:p w14:paraId="6277ABBC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Weryfikację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  <w:t xml:space="preserve">o wartości  R≤10Ω (po przeliczeniu z uwzględnieniem współczynników korekcyjnych dla danego gruntu) </w:t>
      </w:r>
    </w:p>
    <w:p w14:paraId="240432ED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lastRenderedPageBreak/>
        <w:t>Podłączeniu przekładników napięciowych / kombisensorów realizować od strony zasilania linii SN w układzie normalnym – uzgodnić z RE na etapie prac projektowych,</w:t>
      </w:r>
    </w:p>
    <w:p w14:paraId="50226997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sygnału sterującego i dostosować do niego odpowiedniej mocy antenę (np. antenę kierunkową),</w:t>
      </w:r>
    </w:p>
    <w:p w14:paraId="5339A83C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Zastosować moduł komunikacyjny umożliwiający łączność w systemie GPRS oraz LTE450,</w:t>
      </w:r>
    </w:p>
    <w:p w14:paraId="65F7F297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Sygnalizację wraz z pomiarami z zainstalowanego łącznika SN należy zaimplementować do systemu nadzoru dyspozytorskiego WindEX wraz z odwzorowaniem stanu położenia łącznika SN,</w:t>
      </w:r>
    </w:p>
    <w:p w14:paraId="7422812A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6AC22131" w14:textId="77777777" w:rsidR="00C905BE" w:rsidRPr="004B4087" w:rsidRDefault="00C905BE" w:rsidP="00C905BE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4B4087">
        <w:rPr>
          <w:rFonts w:ascii="Verdana" w:hAnsi="Verdana" w:cs="Calibri"/>
          <w:color w:val="FF0000"/>
          <w:sz w:val="18"/>
          <w:szCs w:val="18"/>
        </w:rPr>
        <w:t>CD</w:t>
      </w:r>
      <w:r>
        <w:rPr>
          <w:rFonts w:ascii="Verdana" w:hAnsi="Verdana" w:cs="Calibri"/>
          <w:color w:val="FF0000"/>
          <w:sz w:val="18"/>
          <w:szCs w:val="18"/>
        </w:rPr>
        <w:t xml:space="preserve"> 5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o poprawności wprowadzonych danych do systemu nadzoru dyspozytorskiego WindEX wraz z przeprowadzonymi próbami funkcjonalnymi łącznika lokalnie</w:t>
      </w:r>
      <w:r w:rsidRPr="004B4087">
        <w:rPr>
          <w:rFonts w:ascii="Verdana" w:hAnsi="Verdana" w:cs="Calibri"/>
          <w:sz w:val="18"/>
          <w:szCs w:val="18"/>
        </w:rPr>
        <w:br/>
        <w:t xml:space="preserve"> i zdalnie z poziomu systemu nadzoru dyspozytorskiego WindEX,</w:t>
      </w:r>
    </w:p>
    <w:p w14:paraId="3480353C" w14:textId="77777777" w:rsidR="00C905BE" w:rsidRPr="004B4087" w:rsidRDefault="00C905BE" w:rsidP="00C905BE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>Przygotowanie dokumentacji technicznej</w:t>
      </w:r>
    </w:p>
    <w:p w14:paraId="35870FDF" w14:textId="77777777" w:rsidR="00C905BE" w:rsidRPr="004B4087" w:rsidRDefault="00C905BE" w:rsidP="00C905BE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1"/>
      <w:r w:rsidRPr="004B4087">
        <w:rPr>
          <w:rFonts w:ascii="Verdana" w:hAnsi="Verdana"/>
          <w:b/>
          <w:sz w:val="18"/>
          <w:szCs w:val="18"/>
        </w:rPr>
        <w:t xml:space="preserve"> </w:t>
      </w:r>
    </w:p>
    <w:p w14:paraId="1978A605" w14:textId="77777777" w:rsidR="00C905BE" w:rsidRPr="004B4087" w:rsidRDefault="00C905BE" w:rsidP="00C905BE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budowy/przebudowy urządzeń elektroenergetycznych, sporządzonej zgodnie z normami, przepisami, zasadami współczesnej wiedzy technicznej, przepisami BHP.</w:t>
      </w:r>
    </w:p>
    <w:p w14:paraId="4485D6A6" w14:textId="77777777" w:rsidR="00C905BE" w:rsidRPr="004B4087" w:rsidRDefault="00C905BE" w:rsidP="00C905BE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Dystrybucja S.A. Oddział Łódź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S.A”.</w:t>
      </w:r>
    </w:p>
    <w:bookmarkEnd w:id="2"/>
    <w:p w14:paraId="5D88670F" w14:textId="77777777" w:rsidR="00C905BE" w:rsidRPr="004B4087" w:rsidRDefault="00C905BE" w:rsidP="00C905BE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 xml:space="preserve">Dokumentacja projektowa będzie przedłożona Zamawiającemu </w:t>
      </w:r>
      <w:r w:rsidRPr="004B4087">
        <w:rPr>
          <w:rFonts w:ascii="Verdana" w:hAnsi="Verdana"/>
          <w:b/>
          <w:color w:val="000000"/>
          <w:sz w:val="18"/>
          <w:szCs w:val="18"/>
        </w:rPr>
        <w:t>do uzgodnienia i podlega akceptacji przed rozpoczęciem robót budowlano – montażowych</w:t>
      </w:r>
      <w:r w:rsidRPr="004B4087">
        <w:rPr>
          <w:rFonts w:ascii="Verdana" w:hAnsi="Verdana"/>
          <w:color w:val="000000"/>
          <w:sz w:val="18"/>
          <w:szCs w:val="18"/>
        </w:rPr>
        <w:t xml:space="preserve">. Uzgodnienie przez Zamawiającego projektu nie zwalnia Wykonawcy od zrealizowania zakresu prac zgodnie </w:t>
      </w:r>
      <w:r w:rsidRPr="004B4087">
        <w:rPr>
          <w:rFonts w:ascii="Verdana" w:hAnsi="Verdana"/>
          <w:color w:val="000000"/>
          <w:sz w:val="18"/>
          <w:szCs w:val="18"/>
        </w:rPr>
        <w:br/>
        <w:t>z wiedzą techniczną.</w:t>
      </w:r>
    </w:p>
    <w:p w14:paraId="54E69299" w14:textId="77777777" w:rsidR="00C905BE" w:rsidRPr="004B4087" w:rsidRDefault="00C905BE" w:rsidP="00C905BE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budowie realizowanej według wykonanej przez siebie dokumentacji technicznej, w zakresie czynności wynikających z Prawa Budowlanego.</w:t>
      </w:r>
    </w:p>
    <w:p w14:paraId="2C92E3DB" w14:textId="77777777" w:rsidR="00C905BE" w:rsidRPr="004B4087" w:rsidRDefault="00C905BE" w:rsidP="00C905BE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1A3C0E18" w14:textId="77777777" w:rsidR="00C905BE" w:rsidRPr="004B4087" w:rsidRDefault="00C905BE" w:rsidP="00C905BE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uzgodnić prace z właścicielem nieruchomości (użytkownikiem wieczystym). Wyrażenie zgody na przeprowadzenie prac wymaga zachowania formy pisemnej.  </w:t>
      </w:r>
    </w:p>
    <w:p w14:paraId="0CF577C7" w14:textId="77777777" w:rsidR="00C905BE" w:rsidRPr="004B4087" w:rsidRDefault="00C905BE" w:rsidP="00C905BE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4000C497" w14:textId="77777777" w:rsidR="00C905BE" w:rsidRPr="004B4087" w:rsidRDefault="00C905BE" w:rsidP="00C905BE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7882B0A4" w14:textId="77777777" w:rsidR="00C905BE" w:rsidRPr="004B4087" w:rsidRDefault="00C905BE" w:rsidP="00C905BE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realizacji robót budowlan</w:t>
      </w:r>
      <w:r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48BF70F9" w14:textId="77777777" w:rsidR="00C905BE" w:rsidRPr="004B4087" w:rsidRDefault="00C905BE" w:rsidP="00C905BE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Cs/>
          <w:sz w:val="18"/>
          <w:szCs w:val="18"/>
          <w:lang w:eastAsia="x-none"/>
        </w:rPr>
        <w:t>dla każdego zadania</w:t>
      </w:r>
      <w:r w:rsidRPr="004B4087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4B4087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Pr="004B4087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Cs/>
          <w:sz w:val="18"/>
          <w:szCs w:val="18"/>
          <w:lang w:eastAsia="x-none"/>
        </w:rPr>
        <w:t>dla każdego zadania.</w:t>
      </w:r>
      <w:r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735DE1C9" w14:textId="77777777" w:rsidR="00C905BE" w:rsidRPr="004B4087" w:rsidRDefault="00C905BE" w:rsidP="00C905BE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W celu dotrzymania maksymalnych czasów w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y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łączeń dla Odbiorców, wykonawca zasili przewidziane do wyłączenia stacje transformatorowe 15/0,4 kV agregatami prądotwórczymi lub stacjami przewoźnymi z przerwą na czas ich podłączenia w systemie samodopuszczeń. Wykonawca jest zobowiązany do zabezpieczenia rezerwowego zasilania dla stacji transformatorowych 15/0,4 kV wskazanych poniżej przez Zamawiającego. </w:t>
      </w:r>
    </w:p>
    <w:p w14:paraId="73ABDA59" w14:textId="77777777" w:rsidR="00C905BE" w:rsidRPr="004B4087" w:rsidRDefault="00C905BE" w:rsidP="00C905BE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Stacje transformatorowe 15/0,4 kV wskazane przez Zamawiającego do zasilania jednostkami prądotwórczymi:</w:t>
      </w:r>
    </w:p>
    <w:p w14:paraId="22E46BC4" w14:textId="77777777" w:rsidR="00C905BE" w:rsidRPr="004B4087" w:rsidRDefault="00C905BE" w:rsidP="00C905BE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Wola Rudlicka 1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7-0195,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moc transformatora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– 30 kVA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3006F32E" w14:textId="77777777" w:rsidR="00C905BE" w:rsidRPr="004B4087" w:rsidRDefault="00C905BE" w:rsidP="00C905BE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Ostrówek 7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7-110,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moc transformatora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-63 kVA,</w:t>
      </w:r>
    </w:p>
    <w:p w14:paraId="15ABEF4D" w14:textId="77777777" w:rsidR="00C905BE" w:rsidRDefault="00C905BE" w:rsidP="00C905BE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bookmarkStart w:id="3" w:name="_Hlk215642724"/>
      <w:bookmarkStart w:id="4" w:name="_Hlk215727387"/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Ostrówek 2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7-0099, 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moc transformatora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-63 kVA</w:t>
      </w:r>
      <w:bookmarkEnd w:id="3"/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bookmarkEnd w:id="4"/>
    </w:p>
    <w:p w14:paraId="00080A4F" w14:textId="77777777" w:rsidR="00C905BE" w:rsidRDefault="00C905BE" w:rsidP="00C905BE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… Ostrówek 1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7-0098, 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moc transformatora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-63 kVA,</w:t>
      </w:r>
    </w:p>
    <w:p w14:paraId="4F80280E" w14:textId="77777777" w:rsidR="00C905BE" w:rsidRDefault="00C905BE" w:rsidP="00C905BE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… Wola Rudlicka 3.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7-0492, 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moc transformatora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-40 kVA.</w:t>
      </w:r>
    </w:p>
    <w:p w14:paraId="028D7323" w14:textId="77777777" w:rsidR="00C905BE" w:rsidRPr="004B4087" w:rsidRDefault="00C905BE" w:rsidP="00C905BE">
      <w:pPr>
        <w:pStyle w:val="Akapitzlist"/>
        <w:ind w:left="1080" w:firstLine="0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lastRenderedPageBreak/>
        <w:t>Zamawiający zobowiązuje Wykonawcę do złożenia w terminie 10 dni od momentu zawarcia umowy oraz uzgodnienia dokumentacji technicznej  zgłoszenia i uzgodnienia Harmonogramu planowanych wyłączeń zgodnego ze złożoną ofertą (załącznik nr 1 do umowy)  i warunkami ogłoszenia, jednak nie później niż w terminie 21 dni przed planowanym terminem wyłączenia. Wymaga się akceptacji harmonogramu prac przez Inspektora Nadzoru oraz pracownika Centrum Dyspozytorskiego w Rejonie Energetycznym. Bez wymienionych akceptacji Wykonawca nie będzie dopuszczany do prac na sieci elektroenergetycznej.</w:t>
      </w:r>
    </w:p>
    <w:p w14:paraId="0786C2DC" w14:textId="77777777" w:rsidR="00C905BE" w:rsidRPr="004B4087" w:rsidRDefault="00C905BE" w:rsidP="00C905BE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SN objętych dokumentacją techniczną w sposób maksymalnie ograniczający przerwy w dostawie energii elektrycznej dla odbiorców. </w:t>
      </w:r>
    </w:p>
    <w:p w14:paraId="57EE2DCA" w14:textId="77777777" w:rsidR="00C905BE" w:rsidRPr="004B4087" w:rsidRDefault="00C905BE" w:rsidP="00C905BE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„Instrukcj</w:t>
      </w:r>
      <w:r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 xml:space="preserve">prowadzenia prac przez firmy zewnętrzne w systemie samodopuszczeń w sieci PGE Dystrybucja S.A. Oddział </w:t>
      </w:r>
      <w:r w:rsidRPr="004B4087">
        <w:rPr>
          <w:rFonts w:ascii="Verdana" w:hAnsi="Verdana"/>
          <w:sz w:val="18"/>
          <w:szCs w:val="18"/>
        </w:rPr>
        <w:t>Łódź”</w:t>
      </w:r>
      <w:r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675F943C" w14:textId="77777777" w:rsidR="00C905BE" w:rsidRPr="004B4087" w:rsidRDefault="00C905BE" w:rsidP="00C905BE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58C6A7FF" w14:textId="77777777" w:rsidR="00C905BE" w:rsidRPr="004B4087" w:rsidRDefault="00C905BE" w:rsidP="00C905BE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 xml:space="preserve">umowa stanowiąca załącznik do </w:t>
      </w:r>
      <w:r w:rsidRPr="004B4087">
        <w:rPr>
          <w:rFonts w:ascii="Verdana" w:hAnsi="Verdana"/>
          <w:i/>
          <w:sz w:val="18"/>
          <w:szCs w:val="18"/>
          <w:lang w:val="pl-PL"/>
        </w:rPr>
        <w:t>SWZ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5827D88C" w14:textId="77777777" w:rsidR="00C905BE" w:rsidRPr="004B4087" w:rsidRDefault="00C905BE" w:rsidP="00C905BE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PGE Dystrybucja S.A. Oddział Łódź winny posiadać upoważnienia podstawowe do wykonywania tych prac. Upoważnienie podstawowe </w:t>
      </w:r>
      <w:r w:rsidRPr="004B4087">
        <w:rPr>
          <w:rFonts w:ascii="Verdana" w:hAnsi="Verdana"/>
          <w:sz w:val="18"/>
          <w:szCs w:val="18"/>
          <w:lang w:val="pl-PL"/>
        </w:rPr>
        <w:t>dla</w:t>
      </w:r>
      <w:r w:rsidRPr="004B4087">
        <w:rPr>
          <w:rFonts w:ascii="Verdana" w:hAnsi="Verdana"/>
          <w:sz w:val="18"/>
          <w:szCs w:val="18"/>
        </w:rPr>
        <w:t xml:space="preserve"> osób zatrudnion</w:t>
      </w:r>
      <w:r w:rsidRPr="004B4087">
        <w:rPr>
          <w:rFonts w:ascii="Verdana" w:hAnsi="Verdana"/>
          <w:sz w:val="18"/>
          <w:szCs w:val="18"/>
          <w:lang w:val="pl-PL"/>
        </w:rPr>
        <w:t>ych</w:t>
      </w:r>
      <w:r w:rsidRPr="004B4087">
        <w:rPr>
          <w:rFonts w:ascii="Verdana" w:hAnsi="Verdana"/>
          <w:sz w:val="18"/>
          <w:szCs w:val="18"/>
        </w:rPr>
        <w:t xml:space="preserve"> przez firmę zewnętrzną </w:t>
      </w:r>
      <w:r w:rsidRPr="004B4087">
        <w:rPr>
          <w:rFonts w:ascii="Verdana" w:hAnsi="Verdana"/>
          <w:sz w:val="18"/>
          <w:szCs w:val="18"/>
          <w:lang w:val="pl-PL"/>
        </w:rPr>
        <w:t>nadaje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Pracodawc</w:t>
      </w:r>
      <w:r>
        <w:rPr>
          <w:rFonts w:ascii="Verdana" w:hAnsi="Verdana"/>
          <w:sz w:val="18"/>
          <w:szCs w:val="18"/>
          <w:lang w:val="pl-PL"/>
        </w:rPr>
        <w:t>a</w:t>
      </w:r>
      <w:r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elektroenergetycznych przy których będzie wykonywana praca. 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Pr="004B4087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Pr="004B4087">
        <w:rPr>
          <w:rFonts w:ascii="Verdana" w:hAnsi="Verdana"/>
          <w:sz w:val="18"/>
          <w:szCs w:val="18"/>
          <w:lang w:val="pl-PL"/>
        </w:rPr>
        <w:t xml:space="preserve">  </w:t>
      </w:r>
    </w:p>
    <w:p w14:paraId="0BAB56D1" w14:textId="77777777" w:rsidR="00C905BE" w:rsidRPr="004B4087" w:rsidRDefault="00C905BE" w:rsidP="00C905BE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472E4F3D" w14:textId="77777777" w:rsidR="00C905BE" w:rsidRPr="004B4087" w:rsidRDefault="00C905BE" w:rsidP="00C905BE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 i wyprodukowane nie wcześniej</w:t>
      </w:r>
      <w:r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Pr="004B4087">
        <w:rPr>
          <w:rFonts w:ascii="Verdana" w:hAnsi="Verdana"/>
          <w:color w:val="000000" w:themeColor="text1"/>
          <w:sz w:val="18"/>
          <w:szCs w:val="18"/>
          <w:lang w:val="pl-PL"/>
        </w:rPr>
        <w:t>12 miesięcy 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 oraz spełniać określone poniżej wymagania techniczne</w:t>
      </w:r>
    </w:p>
    <w:p w14:paraId="56A2C3A8" w14:textId="77777777" w:rsidR="00C905BE" w:rsidRPr="004B4087" w:rsidRDefault="00C905BE" w:rsidP="00C905BE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 xml:space="preserve">umowa stanowiąca załącznik do </w:t>
      </w:r>
      <w:r w:rsidRPr="004B4087">
        <w:rPr>
          <w:rFonts w:ascii="Verdana" w:hAnsi="Verdana"/>
          <w:i/>
          <w:sz w:val="18"/>
          <w:szCs w:val="18"/>
          <w:lang w:val="pl-PL"/>
        </w:rPr>
        <w:t>SWZ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3D38DE78" w14:textId="77777777" w:rsidR="00C905BE" w:rsidRPr="004B4087" w:rsidRDefault="00C905BE" w:rsidP="00C905BE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49BB84A6" w14:textId="77777777" w:rsidR="00C905BE" w:rsidRPr="004B4087" w:rsidRDefault="00C905BE" w:rsidP="00C905BE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Wymagania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</w:rPr>
        <w:t>dotyczące wykonywania robót demontażowych określa umowa stanowiąca załącznik</w:t>
      </w:r>
      <w:r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Pr="004B4087">
        <w:rPr>
          <w:rFonts w:ascii="Verdana" w:hAnsi="Verdana"/>
          <w:i/>
          <w:sz w:val="18"/>
          <w:szCs w:val="18"/>
          <w:lang w:val="pl-PL"/>
        </w:rPr>
        <w:t>SWZ</w:t>
      </w:r>
      <w:r w:rsidRPr="004B4087">
        <w:rPr>
          <w:rFonts w:ascii="Verdana" w:hAnsi="Verdana"/>
          <w:sz w:val="18"/>
          <w:szCs w:val="18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39DCB317" w14:textId="77777777" w:rsidR="00C905BE" w:rsidRPr="004B4087" w:rsidRDefault="00C905BE" w:rsidP="00C905BE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2CF4A93" w14:textId="77777777" w:rsidR="00C905BE" w:rsidRPr="004B4087" w:rsidRDefault="00C905BE" w:rsidP="00C905BE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 xml:space="preserve">Odbiory prac dokonywane są przez Zamawiającego zgodnie z „Ramową instrukcją przeprowadzania odbiorów obiektów budowlanych związanych z dystrybucją energii elektrycznej </w:t>
      </w:r>
      <w:r w:rsidRPr="004B4087">
        <w:rPr>
          <w:rFonts w:ascii="Verdana" w:hAnsi="Verdana"/>
          <w:sz w:val="18"/>
          <w:szCs w:val="18"/>
          <w:lang w:val="pl-PL"/>
        </w:rPr>
        <w:br/>
      </w:r>
      <w:r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Pr="004B4087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Pr="004B4087">
        <w:rPr>
          <w:rFonts w:ascii="Verdana" w:hAnsi="Verdana"/>
          <w:sz w:val="18"/>
          <w:szCs w:val="18"/>
        </w:rPr>
        <w:t>robót budowlanych stanowiącej załącznik</w:t>
      </w:r>
      <w:r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Pr="004B4087">
        <w:rPr>
          <w:rFonts w:ascii="Verdana" w:hAnsi="Verdana"/>
          <w:i/>
          <w:sz w:val="18"/>
          <w:szCs w:val="18"/>
          <w:lang w:val="pl-PL"/>
        </w:rPr>
        <w:t>SWZ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456CE5B5" w14:textId="77777777" w:rsidR="00C905BE" w:rsidRPr="004B4087" w:rsidRDefault="00C905BE" w:rsidP="00C905BE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7DB537B4" w14:textId="77777777" w:rsidR="00C905BE" w:rsidRPr="004B4087" w:rsidRDefault="00C905BE" w:rsidP="00C905BE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2C26E443" w14:textId="77777777" w:rsidR="00C905BE" w:rsidRPr="004B4087" w:rsidRDefault="00C905BE" w:rsidP="00C905BE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Uzgodnioną dokumentację techniczną</w:t>
      </w:r>
      <w:r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B0F9928" w14:textId="77777777" w:rsidR="00C905BE" w:rsidRPr="004B4087" w:rsidRDefault="00C905BE" w:rsidP="00C905BE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lastRenderedPageBreak/>
        <w:t xml:space="preserve">Protokoły z przeprowadzonych </w:t>
      </w:r>
      <w:r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507383EC" w14:textId="77777777" w:rsidR="00C905BE" w:rsidRPr="004B4087" w:rsidRDefault="00C905BE" w:rsidP="00C905BE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Pr="004B4087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7A98E041" w14:textId="77777777" w:rsidR="00C905BE" w:rsidRPr="004B4087" w:rsidRDefault="00C905BE" w:rsidP="00C905BE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 </w:t>
      </w:r>
      <w:r w:rsidRPr="004B4087">
        <w:rPr>
          <w:rFonts w:ascii="Verdana" w:hAnsi="Verdana"/>
          <w:sz w:val="18"/>
          <w:szCs w:val="18"/>
          <w:lang w:val="pl-PL"/>
        </w:rPr>
        <w:t>(</w:t>
      </w:r>
      <w:r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Pr="004B4087">
        <w:rPr>
          <w:rFonts w:ascii="Verdana" w:hAnsi="Verdana"/>
          <w:sz w:val="18"/>
          <w:szCs w:val="18"/>
          <w:lang w:val="pl-PL"/>
        </w:rPr>
        <w:t>)</w:t>
      </w:r>
    </w:p>
    <w:p w14:paraId="55E0108D" w14:textId="77777777" w:rsidR="00C905BE" w:rsidRPr="004B4087" w:rsidRDefault="00C905BE" w:rsidP="00C905BE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0FE7E3A4" w14:textId="77777777" w:rsidR="00C905BE" w:rsidRPr="004B4087" w:rsidRDefault="00C905BE" w:rsidP="00C905BE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4E14CC11" w14:textId="77777777" w:rsidR="00C905BE" w:rsidRPr="004B4087" w:rsidRDefault="00C905BE" w:rsidP="00C905BE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</w:t>
      </w:r>
      <w:r>
        <w:rPr>
          <w:rFonts w:ascii="Verdana" w:hAnsi="Verdana"/>
          <w:sz w:val="18"/>
          <w:szCs w:val="18"/>
          <w:lang w:eastAsia="x-none"/>
        </w:rPr>
        <w:t>a</w:t>
      </w:r>
      <w:r w:rsidRPr="004B4087">
        <w:rPr>
          <w:rFonts w:ascii="Verdana" w:hAnsi="Verdana"/>
          <w:sz w:val="18"/>
          <w:szCs w:val="18"/>
          <w:lang w:eastAsia="x-none"/>
        </w:rPr>
        <w:t xml:space="preserve"> SN w terenie.</w:t>
      </w:r>
    </w:p>
    <w:p w14:paraId="0EE57894" w14:textId="77777777" w:rsidR="00C905BE" w:rsidRPr="00B168E6" w:rsidRDefault="00C905BE" w:rsidP="00C905BE">
      <w:pPr>
        <w:rPr>
          <w:rFonts w:asciiTheme="minorHAnsi" w:hAnsiTheme="minorHAnsi"/>
          <w:lang w:eastAsia="x-none"/>
        </w:rPr>
      </w:pP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sectPr w:rsid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F39E" w14:textId="77777777" w:rsidR="002C4433" w:rsidRDefault="002C4433">
      <w:r>
        <w:separator/>
      </w:r>
    </w:p>
  </w:endnote>
  <w:endnote w:type="continuationSeparator" w:id="0">
    <w:p w14:paraId="35114E9C" w14:textId="77777777" w:rsidR="002C4433" w:rsidRDefault="002C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B0FC" w14:textId="77777777" w:rsidR="002C4433" w:rsidRDefault="002C4433">
      <w:r>
        <w:separator/>
      </w:r>
    </w:p>
  </w:footnote>
  <w:footnote w:type="continuationSeparator" w:id="0">
    <w:p w14:paraId="448E4B50" w14:textId="77777777" w:rsidR="002C4433" w:rsidRDefault="002C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5B6D0833" w14:textId="77777777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00E070B6" w14:textId="4CD90AB2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POST/DYS/OLD/GZ/04</w:t>
          </w:r>
          <w:r w:rsidR="00C905BE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6</w:t>
          </w: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4</w:t>
          </w:r>
          <w:r w:rsidR="00C905BE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7</w:t>
          </w: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6F5AC46D" w:rsidR="00D55F80" w:rsidRDefault="00D55F80" w:rsidP="00D55F80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7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7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8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0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1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4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5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3"/>
  </w:num>
  <w:num w:numId="2" w16cid:durableId="1666781076">
    <w:abstractNumId w:val="73"/>
  </w:num>
  <w:num w:numId="3" w16cid:durableId="695618621">
    <w:abstractNumId w:val="79"/>
  </w:num>
  <w:num w:numId="4" w16cid:durableId="1491143360">
    <w:abstractNumId w:val="84"/>
  </w:num>
  <w:num w:numId="5" w16cid:durableId="229658365">
    <w:abstractNumId w:val="71"/>
  </w:num>
  <w:num w:numId="6" w16cid:durableId="729231014">
    <w:abstractNumId w:val="81"/>
  </w:num>
  <w:num w:numId="7" w16cid:durableId="2000502219">
    <w:abstractNumId w:val="89"/>
  </w:num>
  <w:num w:numId="8" w16cid:durableId="1306932007">
    <w:abstractNumId w:val="88"/>
  </w:num>
  <w:num w:numId="9" w16cid:durableId="727918753">
    <w:abstractNumId w:val="61"/>
  </w:num>
  <w:num w:numId="10" w16cid:durableId="960380475">
    <w:abstractNumId w:val="87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4"/>
  </w:num>
  <w:num w:numId="16" w16cid:durableId="1599559039">
    <w:abstractNumId w:val="82"/>
  </w:num>
  <w:num w:numId="17" w16cid:durableId="2051405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4"/>
  </w:num>
  <w:num w:numId="20" w16cid:durableId="1685479152">
    <w:abstractNumId w:val="62"/>
  </w:num>
  <w:num w:numId="21" w16cid:durableId="58140308">
    <w:abstractNumId w:val="72"/>
  </w:num>
  <w:num w:numId="22" w16cid:durableId="947393248">
    <w:abstractNumId w:val="67"/>
  </w:num>
  <w:num w:numId="23" w16cid:durableId="1195923593">
    <w:abstractNumId w:val="60"/>
  </w:num>
  <w:num w:numId="24" w16cid:durableId="336348223">
    <w:abstractNumId w:val="85"/>
  </w:num>
  <w:num w:numId="25" w16cid:durableId="862862901">
    <w:abstractNumId w:val="69"/>
  </w:num>
  <w:num w:numId="26" w16cid:durableId="1364868577">
    <w:abstractNumId w:val="55"/>
  </w:num>
  <w:num w:numId="27" w16cid:durableId="494304781">
    <w:abstractNumId w:val="75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7"/>
  </w:num>
  <w:num w:numId="33" w16cid:durableId="1891070939">
    <w:abstractNumId w:val="65"/>
  </w:num>
  <w:num w:numId="34" w16cid:durableId="952401735">
    <w:abstractNumId w:val="80"/>
  </w:num>
  <w:num w:numId="35" w16cid:durableId="122307402">
    <w:abstractNumId w:val="78"/>
  </w:num>
  <w:num w:numId="36" w16cid:durableId="147333472">
    <w:abstractNumId w:val="68"/>
  </w:num>
  <w:num w:numId="37" w16cid:durableId="14574755">
    <w:abstractNumId w:val="86"/>
  </w:num>
  <w:num w:numId="38" w16cid:durableId="1285697790">
    <w:abstractNumId w:val="54"/>
  </w:num>
  <w:num w:numId="39" w16cid:durableId="768038164">
    <w:abstractNumId w:val="76"/>
  </w:num>
  <w:num w:numId="40" w16cid:durableId="23290739">
    <w:abstractNumId w:val="70"/>
  </w:num>
  <w:num w:numId="41" w16cid:durableId="495654263">
    <w:abstractNumId w:val="83"/>
  </w:num>
  <w:num w:numId="42" w16cid:durableId="46995121">
    <w:abstractNumId w:val="53"/>
  </w:num>
  <w:num w:numId="43" w16cid:durableId="2036075395">
    <w:abstractNumId w:val="6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C6EDB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1C7"/>
    <w:rsid w:val="001F7BBB"/>
    <w:rsid w:val="00200EB8"/>
    <w:rsid w:val="00201010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111F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1AEA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433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44D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B30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5C6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120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12B7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5F52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5D9E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2CB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5BE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71D"/>
    <w:rsid w:val="00D02FB0"/>
    <w:rsid w:val="00D03C82"/>
    <w:rsid w:val="00D0552D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723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35FB5"/>
    <w:rsid w:val="00E40F45"/>
    <w:rsid w:val="00E42B4B"/>
    <w:rsid w:val="00E450D2"/>
    <w:rsid w:val="00E47781"/>
    <w:rsid w:val="00E5093B"/>
    <w:rsid w:val="00E5290B"/>
    <w:rsid w:val="00E52C0B"/>
    <w:rsid w:val="00E53B21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044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 - Specyfikacja techniczna 2026 - reklozer - część 1.docx</dmsv2BaseFileName>
    <dmsv2BaseDisplayName xmlns="http://schemas.microsoft.com/sharepoint/v3">Załącznik nr 1.3 do SWZ  - Specyfikacja techniczna 2026 - reklozer - część 1</dmsv2BaseDisplayName>
    <dmsv2SWPP2ObjectNumber xmlns="http://schemas.microsoft.com/sharepoint/v3">POST/DYS/OLD/GZ/04647/2025                        </dmsv2SWPP2ObjectNumber>
    <dmsv2SWPP2SumMD5 xmlns="http://schemas.microsoft.com/sharepoint/v3">c52c0c82addb2cfa6ea183dfea42d373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24108219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JEUP5JKVCYQC-922955212-21025</_dlc_DocId>
    <_dlc_DocIdUrl xmlns="a19cb1c7-c5c7-46d4-85ae-d83685407bba">
      <Url>https://swpp2.dms.gkpge.pl/sites/41/_layouts/15/DocIdRedir.aspx?ID=JEUP5JKVCYQC-922955212-21025</Url>
      <Description>JEUP5JKVCYQC-922955212-21025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050558F-8A6A-443D-A208-0611D9B578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1393</Words>
  <Characters>9971</Characters>
  <Application>Microsoft Office Word</Application>
  <DocSecurity>0</DocSecurity>
  <Lines>83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Kowalska Katarzyna [PGE Dystr. O.Łódź]</cp:lastModifiedBy>
  <cp:revision>12</cp:revision>
  <cp:lastPrinted>2011-10-20T15:55:00Z</cp:lastPrinted>
  <dcterms:created xsi:type="dcterms:W3CDTF">2025-10-28T08:54:00Z</dcterms:created>
  <dcterms:modified xsi:type="dcterms:W3CDTF">2026-01-13T07:19:00Z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fca048b5-044f-487e-808b-084c58c5a0c8</vt:lpwstr>
  </property>
</Properties>
</file>